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3D" w:rsidRPr="0087043D" w:rsidRDefault="0087043D" w:rsidP="008704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Приложение 1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</w:t>
      </w:r>
    </w:p>
    <w:p w:rsidR="00F90D9E" w:rsidRDefault="00F90D9E" w:rsidP="008704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ГАУК «Региональный центр развития культуры</w:t>
      </w:r>
    </w:p>
    <w:p w:rsidR="0087043D" w:rsidRPr="0087043D" w:rsidRDefault="00F90D9E" w:rsidP="008704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="0087043D" w:rsidRPr="0087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от </w:t>
      </w:r>
      <w:r w:rsidR="00325BB9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_______________</w:t>
      </w:r>
      <w:r w:rsidRPr="0087043D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 № </w:t>
      </w:r>
      <w:r w:rsidR="00F90D9E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____</w:t>
      </w:r>
    </w:p>
    <w:p w:rsidR="00F90D9E" w:rsidRDefault="00F90D9E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</w:pP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  <w:t xml:space="preserve">Положение об </w:t>
      </w:r>
      <w:proofErr w:type="spellStart"/>
      <w:r w:rsidRPr="0087043D"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  <w:t xml:space="preserve"> политике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  <w:t xml:space="preserve">Государственного автономного учреждения культуры 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  <w:t>«Региональный центр развития культуры Оренбургской области»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1.Общие положения.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1.1. Настоящая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Антикоррупционная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политика (далее – «Политика») является базовым документом ГАУК "</w:t>
      </w:r>
      <w:r w:rsidRPr="0087043D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 РЦРКОО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" (далее – Учреждение), определяющим ключевые принципы и требования, направленные на предотвращение коррупции и соблюдение норм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антикоррупционного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законодательства Российской Федерации, работниками и иными лицами, которые могут действовать от имени Учреждения.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1.2.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Антикоррупционная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политика   разработана на основе Федерального закона Российской Федерации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Нормативными актами, регулирующими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антикоррупционную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политику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Учреждения являются также ФЗ № 273 «Об образовании в Российской Федерации», Устав Учреждения и другие локальные акты.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1.3.   Настоящей    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    политикой       устанавливаются: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основные принципы противодействия коррупции;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правовые и организационные основы предупреждения коррупции и борьбы с ней;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минимизации и (или) ликвидации последствий коррупционных правонарушений.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Антикоррупционная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В соответствии со ст.13.3 Федерального закона № 273-ФЗ меры </w:t>
      </w:r>
      <w:proofErr w:type="gram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</w:t>
      </w:r>
      <w:proofErr w:type="gramEnd"/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предупреждению коррупции, принимаемые в организации, могут включать: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1) определение должностных лиц, ответственных за профилактику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коррупционных и иных правонарушений;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2) сотрудничество Учреждения с правоохранительными органами;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4) принятие кодекса этики и служебного поведения работников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Учреждения;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>5) предотвращение и урегулирование конфликта интересов;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Антикоррупционная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политика Учреждения направлена на реализацию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данных мер.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1.4.   Для целей настоящей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используются следующие основные понятия: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proofErr w:type="gramStart"/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Коррупция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Противодействие коррупции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 минимизации и (или) ликвидации последствий коррупционных правонарушений.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Учреждение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Контрагент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proofErr w:type="gramStart"/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Взятка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proofErr w:type="gramStart"/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lastRenderedPageBreak/>
        <w:t>Коммерческий подкуп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proofErr w:type="gramStart"/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Конфликт интересов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(представителем Учреждение) которой он является.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proofErr w:type="gramStart"/>
      <w:r w:rsidRPr="0087043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t>Личная заинтересованность работника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(представителя Учреждения - заинтересованность работника (представителя Учреждения,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2.Цели и задачи внедрения </w:t>
      </w:r>
      <w:proofErr w:type="spellStart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 политики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2.1.   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Основными целями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являются: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предупреждение коррупции в Учреждении;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обеспечение ответственности за коррупционные правонарушения;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формирование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антикоррупционного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сознания у работников Учреждения;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2.2. Основные задачи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Учреждени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я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формирование у работников понимания позиции Учреждения в неприятии коррупции в любых формах и проявлениях;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минимизация риска вовлечения работников Учреждения в коррупционную деятельность;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обеспечение ответственности за коррупционные правонарушения;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мониторинг эффективности мероприятий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политики;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установление обязанности работников Учреждения знать и соблюдать требования настоящей политики, основные нормы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антикоррупционного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законодательства.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3. Основные принципы </w:t>
      </w:r>
      <w:proofErr w:type="spellStart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 деятельности Учреждения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Система мер противодействия коррупции в Учреждении основывается на следующих ключевых принципах: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риоритет профилактических мер, направленных на недопущение формирования причин и условий, порождающих коррупцию;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беспечение чёткой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ней: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информирование контрагентов, партнеров и общественности о принятых в Учреждении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стандартах работы;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постоянный контроль и регулярное осуществление мониторинга эффективности внедренных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стандартов и процедур, а также </w:t>
      </w:r>
      <w:proofErr w:type="gram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их исполнением;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риоритет защиты прав и законных интересов физических и юридических лиц;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заимодействие с общественными объединениями и гражданами: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информированность работников Учреждения о положениях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антикоррупционного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стандартов и процедур;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оответстви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е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Учреждения действующему законодательству и общепринятым нормам:</w:t>
      </w:r>
    </w:p>
    <w:p w:rsidR="0087043D" w:rsidRPr="0087043D" w:rsidRDefault="008A4607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hyperlink r:id="rId5" w:history="1">
        <w:proofErr w:type="gramStart"/>
        <w:r w:rsidR="0087043D" w:rsidRPr="008704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87043D" w:rsidRPr="0087043D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 </w:t>
      </w:r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Российской Федерации, 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Учреждению;</w:t>
      </w:r>
      <w:proofErr w:type="gramEnd"/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Л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ичн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ый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пример руководства Учреждением: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3.7.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оразмерност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ь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процедур риску коррупции: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3.8.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Э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ффективност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ь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процедур: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применение в Учреждении таких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приносят значимый результат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3.9.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тветственност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ь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и неотвратимост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ь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наказания: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Учреждения за реализацию внутриорганизационной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политики.</w:t>
      </w:r>
    </w:p>
    <w:p w:rsidR="0087043D" w:rsidRP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4. Область применения политики и круг лиц, попадающих под ее действие</w:t>
      </w:r>
    </w:p>
    <w:p w:rsidR="0087043D" w:rsidRPr="0087043D" w:rsidRDefault="0087043D" w:rsidP="00870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</w:t>
      </w:r>
    </w:p>
    <w:p w:rsidR="0087043D" w:rsidRPr="0087043D" w:rsidRDefault="0087043D" w:rsidP="00870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организационной структуры, материальных ресурсов является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юрисконсульт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</w:p>
    <w:p w:rsidR="0087043D" w:rsidRPr="0087043D" w:rsidRDefault="0087043D" w:rsidP="00870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Задачи, функции и полномочия директора в сфере противодействия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коррупции определены его должностной инструкцией.</w:t>
      </w:r>
    </w:p>
    <w:p w:rsidR="0087043D" w:rsidRPr="0087043D" w:rsidRDefault="0087043D" w:rsidP="00870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Эти обязанности включают в частности: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разработку локальных нормативных актов Учреждения, направленных на реализацию мер по предупреждению коррупции (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политики, кодекса этики и служебного поведения работников и т.д.);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проведение контрольных мероприятий, направленных на выявление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коррупционных правонарушений работниками Учреждения;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организация проведения оценки коррупционных рисков;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организация заполнения и рассмотрения деклараций о конфликте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интересов;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организация обучающих мероприятий по вопросам профилактики и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противодействия коррупции и индивидуального консультирования работников;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проведение оценки результатов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работы и подготовка соответствующих отчетных материалов Учредителю.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87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5. </w:t>
      </w: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Общие обязанности работников Учреждения</w:t>
      </w:r>
    </w:p>
    <w:p w:rsidR="0087043D" w:rsidRP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в связи с предупреждением и  противодействием коррупции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5.1.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Общие обязанности работников Учреждения в связи с предупреждением и  противодействием коррупции: 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незамедлительно информировать непосредственного руководителя/лицо, ответственное за реализацию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политики/руководство Учреждения о случаях склонения работника к совершению коррупционных правонарушений;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незамедлительно информировать непосредственного начальника/лицо, ответственное за реализацию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-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6.Специальные обязанности работников Учреждения в связи с предупреждением и противодействием коррупции</w:t>
      </w:r>
    </w:p>
    <w:p w:rsidR="0087043D" w:rsidRP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870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 Учреждении: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руководства Учреждения;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лиц, ответственных за реализацию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работников, чья деятельность связана с коррупционными рисками;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лиц, осуществляющих внутренний контроль и аудит, и т.д.</w:t>
      </w:r>
    </w:p>
    <w:p w:rsidR="0087043D" w:rsidRPr="0087043D" w:rsidRDefault="0087043D" w:rsidP="00870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Как общие, так и специальные обязанности включаются в трудовой договор с работником Учреждения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87043D" w:rsidRPr="0087043D" w:rsidRDefault="0087043D" w:rsidP="0087043D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>коррупционных правонарушений закрепляется в локальном нормативном акте Учреждения.</w:t>
      </w:r>
    </w:p>
    <w:p w:rsidR="0087043D" w:rsidRPr="0087043D" w:rsidRDefault="0087043D" w:rsidP="0087043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Перечень </w:t>
      </w:r>
      <w:proofErr w:type="spellStart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 мероприятий и порядок их выполнения (применения)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План мероприятий по реализации стратегии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является комплексной мерой, обеспечивающей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87043D" w:rsidRPr="0087043D" w:rsidRDefault="0087043D" w:rsidP="0087043D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План мероприятий по реализации стратегии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политики входит в состав комплексной программы профилактики правонарушений.</w:t>
      </w:r>
    </w:p>
    <w:p w:rsidR="0087043D" w:rsidRPr="0087043D" w:rsidRDefault="0087043D" w:rsidP="0087043D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Разработка и принятие плана реализации стратегии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осуществляется в порядке, установленном законодательством.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7"/>
        <w:gridCol w:w="5602"/>
      </w:tblGrid>
      <w:tr w:rsidR="0087043D" w:rsidRPr="0087043D" w:rsidTr="00191942">
        <w:trPr>
          <w:trHeight w:val="1"/>
        </w:trPr>
        <w:tc>
          <w:tcPr>
            <w:tcW w:w="3577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87043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Направление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87043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Мероприятие</w:t>
            </w:r>
          </w:p>
        </w:tc>
      </w:tr>
      <w:tr w:rsidR="0087043D" w:rsidRPr="0087043D" w:rsidTr="00191942">
        <w:trPr>
          <w:trHeight w:val="1"/>
        </w:trPr>
        <w:tc>
          <w:tcPr>
            <w:tcW w:w="3577" w:type="dxa"/>
            <w:vMerge w:val="restart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87043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Нормативное обеспечение, закрепление стандартов</w:t>
            </w:r>
          </w:p>
          <w:p w:rsidR="0087043D" w:rsidRPr="0087043D" w:rsidRDefault="0087043D" w:rsidP="0087043D">
            <w:pPr>
              <w:spacing w:after="100" w:line="1" w:lineRule="atLeast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поведения и декларация намерений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Введение в документацию о закупках стандартной </w:t>
            </w:r>
            <w:proofErr w:type="spell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антикоррупционной</w:t>
            </w:r>
            <w:proofErr w:type="spellEnd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оговорки.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Введение </w:t>
            </w:r>
            <w:proofErr w:type="spell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антикоррупционных</w:t>
            </w:r>
            <w:proofErr w:type="spellEnd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положений в трудовые договоры (должностные инструкции) работников.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Разработка и принятие кодекса этики и служебного поведения работников Учреждения.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</w:tr>
      <w:tr w:rsidR="0087043D" w:rsidRPr="0087043D" w:rsidTr="00191942">
        <w:trPr>
          <w:trHeight w:val="1"/>
        </w:trPr>
        <w:tc>
          <w:tcPr>
            <w:tcW w:w="3577" w:type="dxa"/>
            <w:vMerge w:val="restart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Разработка и введение </w:t>
            </w:r>
            <w:proofErr w:type="gram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специальных</w:t>
            </w:r>
            <w:proofErr w:type="gramEnd"/>
          </w:p>
          <w:p w:rsidR="0087043D" w:rsidRPr="0087043D" w:rsidRDefault="0087043D" w:rsidP="0087043D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proofErr w:type="spell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антикоррупционных</w:t>
            </w:r>
            <w:proofErr w:type="spellEnd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процедур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proofErr w:type="gram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Введение процедуры информирования </w:t>
            </w: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lastRenderedPageBreak/>
              <w:t>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антикоррупционных</w:t>
            </w:r>
            <w:proofErr w:type="spellEnd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мер</w:t>
            </w:r>
          </w:p>
        </w:tc>
      </w:tr>
      <w:tr w:rsidR="0087043D" w:rsidRPr="0087043D" w:rsidTr="00191942">
        <w:trPr>
          <w:trHeight w:val="1"/>
        </w:trPr>
        <w:tc>
          <w:tcPr>
            <w:tcW w:w="3577" w:type="dxa"/>
            <w:vMerge w:val="restart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87043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Обучение и информирование работников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Ежегодное ознакомление работников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Проведение для обучающих мероприятий по вопросам профилактики и противодействия коррупции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антикоррупционных</w:t>
            </w:r>
            <w:proofErr w:type="spellEnd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стандартов и процедур</w:t>
            </w:r>
          </w:p>
        </w:tc>
      </w:tr>
      <w:tr w:rsidR="0087043D" w:rsidRPr="0087043D" w:rsidTr="00191942">
        <w:trPr>
          <w:trHeight w:val="1"/>
        </w:trPr>
        <w:tc>
          <w:tcPr>
            <w:tcW w:w="3577" w:type="dxa"/>
            <w:vMerge w:val="restart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87043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lastRenderedPageBreak/>
              <w:t>антикоррупционной</w:t>
            </w:r>
            <w:proofErr w:type="spellEnd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политики организации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lastRenderedPageBreak/>
              <w:t>Осуществление регулярного контроля соблюдения внутренних процедур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Осуществление регулярного контроля </w:t>
            </w: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lastRenderedPageBreak/>
              <w:t>данных бухгалтерского учета, наличия и достоверности первичных документов бухгалтерского учета</w:t>
            </w:r>
          </w:p>
        </w:tc>
      </w:tr>
      <w:tr w:rsidR="0087043D" w:rsidRPr="0087043D" w:rsidTr="00191942">
        <w:trPr>
          <w:trHeight w:val="1"/>
        </w:trPr>
        <w:tc>
          <w:tcPr>
            <w:tcW w:w="3577" w:type="dxa"/>
            <w:vMerge w:val="restart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87043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Оценка результатов проводимой </w:t>
            </w:r>
            <w:proofErr w:type="spellStart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антикоррупционной</w:t>
            </w:r>
            <w:proofErr w:type="spellEnd"/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87043D" w:rsidRPr="0087043D" w:rsidTr="00191942">
        <w:trPr>
          <w:trHeight w:val="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43D" w:rsidRPr="0087043D" w:rsidRDefault="0087043D" w:rsidP="00870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</w:p>
        </w:tc>
        <w:tc>
          <w:tcPr>
            <w:tcW w:w="5602" w:type="dxa"/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7043D" w:rsidRPr="0087043D" w:rsidRDefault="0087043D" w:rsidP="00191942">
            <w:pPr>
              <w:spacing w:before="100" w:after="100" w:line="1" w:lineRule="atLeast"/>
              <w:ind w:right="107"/>
              <w:rPr>
                <w:rFonts w:ascii="Times New Roman" w:eastAsia="Times New Roman" w:hAnsi="Times New Roman" w:cs="Times New Roman"/>
                <w:color w:val="2D1704"/>
                <w:sz w:val="28"/>
                <w:szCs w:val="28"/>
                <w:lang w:eastAsia="ru-RU"/>
              </w:rPr>
            </w:pPr>
            <w:r w:rsidRPr="0087043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</w:p>
    <w:p w:rsidR="0087043D" w:rsidRPr="0087043D" w:rsidRDefault="0087043D" w:rsidP="0087043D">
      <w:pPr>
        <w:pStyle w:val="a5"/>
        <w:numPr>
          <w:ilvl w:val="0"/>
          <w:numId w:val="5"/>
        </w:num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Внедрение </w:t>
      </w:r>
      <w:proofErr w:type="spellStart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 механизмов</w:t>
      </w:r>
    </w:p>
    <w:p w:rsidR="0087043D" w:rsidRPr="0087043D" w:rsidRDefault="0087043D" w:rsidP="0087043D">
      <w:pPr>
        <w:pStyle w:val="a5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1. Проведение совещаний с работниками Учреждения по вопросам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в образовании.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2. Усиление воспитательной и разъяснительной работы среди административного, педагогического состава Учреждения по не допущению фактов вымогательства и получения денежных сре</w:t>
      </w:r>
      <w:proofErr w:type="gram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 реализации образовательного процесса.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3. Проведение проверки целевого использования средств.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4. Участие в комплексных проверках по порядку привлечения внебюджетных средств, их целевого использования.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ведением документов строгой отчетности: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инструкции и указания по ведению журналов учета рабочего времени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работников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;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принятие дисциплинарных взысканий к лицам, допустившим нарушения.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6.Анализ состояния работы и мер по предупреждению коррупционных правонарушений в Учреждении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.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Подведение итогов анонимного анкетирования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работников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на предмет выявления фактов коррупционных нарушений.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7. Анализ заявлений, обращений граждан на предмет наличия в них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информации о фактах коррупции в Учреждении. Принятие по результатам проверок организационных мер, на предупреждение подобных фактов.</w:t>
      </w:r>
    </w:p>
    <w:p w:rsidR="0087043D" w:rsidRP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9.Антикоррупционное образование и пропаганда.</w:t>
      </w:r>
    </w:p>
    <w:p w:rsidR="0087043D" w:rsidRP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Профилактика коррупции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8.1. 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Для решения задач по формированию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антикоррупционного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мировоззрения, повышения 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8.2.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Антикоррупционная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пропаганда представляет собой целенаправленную деятельность, содержанием которой является просветительская работа по вопросам противостояния коррупции в любых её проявлениях, воспитания у </w:t>
      </w:r>
      <w:r w:rsidR="0019194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>работников Учреждения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гражданской ответственности, укрепления доверия к власти.</w:t>
      </w:r>
    </w:p>
    <w:p w:rsidR="00191942" w:rsidRPr="0087043D" w:rsidRDefault="0087043D" w:rsidP="0019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8.3. </w:t>
      </w:r>
      <w:r w:rsidR="00191942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Организация </w:t>
      </w:r>
      <w:proofErr w:type="spellStart"/>
      <w:r w:rsidR="00191942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="00191942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пропаганды осуществляется в соответствии законодательством Российской Федерации во взаимодействии с государственными правоохранительными органами, общественными, объединениями.</w:t>
      </w:r>
    </w:p>
    <w:p w:rsidR="00191942" w:rsidRPr="0087043D" w:rsidRDefault="00191942" w:rsidP="0019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      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Профилактика коррупции в Учреждении осуществляется путем применения следующих основных мер:</w:t>
      </w:r>
    </w:p>
    <w:p w:rsidR="00191942" w:rsidRPr="0087043D" w:rsidRDefault="00191942" w:rsidP="0019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      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а) формирование в Учреждении нетерпимости к коррупционному поведению.</w:t>
      </w:r>
    </w:p>
    <w:p w:rsidR="00191942" w:rsidRPr="0087043D" w:rsidRDefault="00191942" w:rsidP="0019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      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Особое внимание уделяется формированию высокого правосознания и правовой культуры работников.</w:t>
      </w:r>
    </w:p>
    <w:p w:rsidR="00191942" w:rsidRPr="0087043D" w:rsidRDefault="00191942" w:rsidP="0019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      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proofErr w:type="spellStart"/>
      <w:proofErr w:type="gram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Антикоррупционная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 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191942" w:rsidRPr="0087043D" w:rsidRDefault="00191942" w:rsidP="0019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     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антикоррупционная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экспертиза локально-нормативных актов  и (или) их проектов, издаваемых в Учреждении,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87043D" w:rsidRPr="0087043D" w:rsidRDefault="0087043D" w:rsidP="0019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</w:p>
    <w:p w:rsid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10.Ответственность работников</w:t>
      </w:r>
    </w:p>
    <w:p w:rsidR="00191942" w:rsidRPr="0087043D" w:rsidRDefault="00191942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19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Каждый работник при заключении трудового договора должен быть ознакомлен под подпись с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политикой Учреждения и локальными нормативными актами, касающимися противодействия коррупции, изданными в Учреждении, и соблюдать принципы и требования данных документов.</w:t>
      </w:r>
    </w:p>
    <w:p w:rsidR="0087043D" w:rsidRDefault="0087043D" w:rsidP="0019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Работники Учреждения, 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политики.   </w:t>
      </w:r>
    </w:p>
    <w:p w:rsidR="00191942" w:rsidRPr="0087043D" w:rsidRDefault="00191942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Default="0087043D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</w:pPr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11. Порядок пересмотра и внесения изменений в </w:t>
      </w:r>
      <w:proofErr w:type="spellStart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>антикоррупционную</w:t>
      </w:r>
      <w:proofErr w:type="spellEnd"/>
      <w:r w:rsidRPr="008704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ru-RU"/>
        </w:rPr>
        <w:t xml:space="preserve"> политику Учреждения</w:t>
      </w:r>
    </w:p>
    <w:p w:rsidR="00191942" w:rsidRPr="0087043D" w:rsidRDefault="00191942" w:rsidP="0087043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</w:p>
    <w:p w:rsidR="0087043D" w:rsidRPr="0087043D" w:rsidRDefault="0087043D" w:rsidP="0019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политики, а также выявленных фактов коррупции и способов их устранения.</w:t>
      </w:r>
    </w:p>
    <w:p w:rsidR="0087043D" w:rsidRPr="0087043D" w:rsidRDefault="0087043D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 xml:space="preserve">Основными направлениями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экспертизы является:</w:t>
      </w:r>
    </w:p>
    <w:p w:rsidR="0087043D" w:rsidRPr="0087043D" w:rsidRDefault="00191942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обобщение и анализ результатов </w:t>
      </w:r>
      <w:proofErr w:type="spellStart"/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экспертизы локальных нормативных документов Учреждения;</w:t>
      </w:r>
    </w:p>
    <w:p w:rsidR="0087043D" w:rsidRPr="0087043D" w:rsidRDefault="00191942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изучение мнения трудового коллектива о состоянии коррупции в Учреждении и эффективности принимаемых </w:t>
      </w:r>
      <w:proofErr w:type="spellStart"/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мер;</w:t>
      </w:r>
    </w:p>
    <w:p w:rsidR="0087043D" w:rsidRPr="0087043D" w:rsidRDefault="00191942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изучение и анализ принимаемых в Учреждении мер по противодействию коррупции;</w:t>
      </w:r>
    </w:p>
    <w:p w:rsidR="0087043D" w:rsidRPr="0087043D" w:rsidRDefault="00191942" w:rsidP="0087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- </w:t>
      </w:r>
      <w:r w:rsidR="0087043D"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анализ публикаций о коррупции в средствах массовой информации.</w:t>
      </w:r>
    </w:p>
    <w:p w:rsidR="0087043D" w:rsidRPr="0087043D" w:rsidRDefault="0087043D" w:rsidP="0019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Должностное лицо, ответственное за реализацию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в Учреждении, ежегодно представляет руководству Учреждения соответствующий отчет. Если по результатам мониторинга возникают сомнения в эффективности реализуемых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мероприятий, в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антикоррупционную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политику вносятся изменения и дополнения.</w:t>
      </w:r>
    </w:p>
    <w:p w:rsidR="0087043D" w:rsidRPr="0087043D" w:rsidRDefault="0087043D" w:rsidP="0019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</w:pPr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Пересмотр принятой </w:t>
      </w:r>
      <w:proofErr w:type="spellStart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87043D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Учреждения или иных лиц.</w:t>
      </w:r>
    </w:p>
    <w:p w:rsidR="00E96703" w:rsidRPr="0087043D" w:rsidRDefault="00E96703" w:rsidP="0087043D">
      <w:pPr>
        <w:rPr>
          <w:rFonts w:ascii="Times New Roman" w:hAnsi="Times New Roman" w:cs="Times New Roman"/>
          <w:sz w:val="28"/>
          <w:szCs w:val="28"/>
        </w:rPr>
      </w:pPr>
    </w:p>
    <w:sectPr w:rsidR="00E96703" w:rsidRPr="0087043D" w:rsidSect="00E9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5CB"/>
    <w:multiLevelType w:val="multilevel"/>
    <w:tmpl w:val="262E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921A8"/>
    <w:multiLevelType w:val="multilevel"/>
    <w:tmpl w:val="E4E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0289E"/>
    <w:multiLevelType w:val="multilevel"/>
    <w:tmpl w:val="BF4A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E7184"/>
    <w:multiLevelType w:val="hybridMultilevel"/>
    <w:tmpl w:val="6402F736"/>
    <w:lvl w:ilvl="0" w:tplc="F370C69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A19E0"/>
    <w:multiLevelType w:val="multilevel"/>
    <w:tmpl w:val="9DB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43D"/>
    <w:rsid w:val="00191942"/>
    <w:rsid w:val="00325BB9"/>
    <w:rsid w:val="00644ACB"/>
    <w:rsid w:val="00675C99"/>
    <w:rsid w:val="0087043D"/>
    <w:rsid w:val="008A4607"/>
    <w:rsid w:val="00E96703"/>
    <w:rsid w:val="00F9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43D"/>
  </w:style>
  <w:style w:type="character" w:styleId="a4">
    <w:name w:val="Hyperlink"/>
    <w:basedOn w:val="a0"/>
    <w:uiPriority w:val="99"/>
    <w:semiHidden/>
    <w:unhideWhenUsed/>
    <w:rsid w:val="008704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0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0FCE473E7F483D14D6A9905CD399BD175DA7207E4F177EB86A7815D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4</cp:revision>
  <cp:lastPrinted>2018-10-24T08:30:00Z</cp:lastPrinted>
  <dcterms:created xsi:type="dcterms:W3CDTF">2016-11-14T09:09:00Z</dcterms:created>
  <dcterms:modified xsi:type="dcterms:W3CDTF">2018-10-24T08:35:00Z</dcterms:modified>
</cp:coreProperties>
</file>